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225A" w14:textId="77777777" w:rsidR="008903DB" w:rsidRDefault="008903DB">
      <w:pPr>
        <w:spacing w:after="0"/>
        <w:jc w:val="left"/>
        <w:rPr>
          <w:rFonts w:ascii="Arial" w:eastAsia="Arial" w:hAnsi="Arial"/>
          <w:b/>
          <w:smallCaps/>
          <w:color w:val="000000"/>
          <w:sz w:val="24"/>
          <w:szCs w:val="24"/>
        </w:rPr>
      </w:pPr>
    </w:p>
    <w:p w14:paraId="5D3BA0CC" w14:textId="77777777" w:rsidR="008903DB" w:rsidRDefault="009B1C45">
      <w:pPr>
        <w:pBdr>
          <w:top w:val="nil"/>
          <w:left w:val="nil"/>
          <w:bottom w:val="nil"/>
          <w:right w:val="nil"/>
          <w:between w:val="nil"/>
        </w:pBdr>
        <w:tabs>
          <w:tab w:val="left" w:pos="142"/>
        </w:tabs>
        <w:spacing w:before="120"/>
        <w:ind w:left="360" w:hanging="360"/>
        <w:jc w:val="left"/>
        <w:rPr>
          <w:rFonts w:ascii="Arial" w:eastAsia="Arial" w:hAnsi="Arial"/>
          <w:b/>
          <w:color w:val="000000"/>
          <w:sz w:val="36"/>
          <w:szCs w:val="36"/>
        </w:rPr>
      </w:pPr>
      <w:bookmarkStart w:id="0" w:name="_heading=h.30j0zll" w:colFirst="0" w:colLast="0"/>
      <w:bookmarkEnd w:id="0"/>
      <w:r>
        <w:rPr>
          <w:rFonts w:ascii="Arial" w:eastAsia="Arial" w:hAnsi="Arial"/>
          <w:b/>
          <w:color w:val="000000"/>
          <w:sz w:val="36"/>
          <w:szCs w:val="36"/>
        </w:rPr>
        <w:t>Call-Off Schedule 28 (TUPE Surcharge)</w:t>
      </w:r>
    </w:p>
    <w:p w14:paraId="5394A499" w14:textId="77777777" w:rsidR="008903DB" w:rsidRDefault="008903DB">
      <w:pPr>
        <w:pBdr>
          <w:top w:val="nil"/>
          <w:left w:val="nil"/>
          <w:bottom w:val="nil"/>
          <w:right w:val="nil"/>
          <w:between w:val="nil"/>
        </w:pBdr>
        <w:tabs>
          <w:tab w:val="left" w:pos="142"/>
        </w:tabs>
        <w:spacing w:before="120"/>
        <w:ind w:left="360" w:hanging="360"/>
        <w:jc w:val="left"/>
        <w:rPr>
          <w:rFonts w:ascii="Arial" w:eastAsia="Arial" w:hAnsi="Arial"/>
          <w:b/>
          <w:color w:val="000000"/>
          <w:sz w:val="6"/>
          <w:szCs w:val="6"/>
        </w:rPr>
      </w:pPr>
      <w:bookmarkStart w:id="1" w:name="_heading=h.oqd34042zczz" w:colFirst="0" w:colLast="0"/>
      <w:bookmarkEnd w:id="1"/>
    </w:p>
    <w:tbl>
      <w:tblPr>
        <w:tblStyle w:val="a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8903DB" w14:paraId="0293EBB3" w14:textId="77777777">
        <w:tc>
          <w:tcPr>
            <w:tcW w:w="9016" w:type="dxa"/>
            <w:gridSpan w:val="2"/>
          </w:tcPr>
          <w:p w14:paraId="087B7068" w14:textId="77777777" w:rsidR="008903DB" w:rsidRDefault="009B1C45">
            <w:pPr>
              <w:spacing w:after="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(i) Joint Schedule 1 (Definitions) and (ii) Call–Off Schedule 2 (Staff Transfer):</w:t>
            </w:r>
          </w:p>
        </w:tc>
      </w:tr>
      <w:tr w:rsidR="008903DB" w14:paraId="323E0C44" w14:textId="77777777">
        <w:tc>
          <w:tcPr>
            <w:tcW w:w="4508" w:type="dxa"/>
          </w:tcPr>
          <w:p w14:paraId="7FC5E20E" w14:textId="77777777" w:rsidR="008903DB" w:rsidRDefault="009B1C45">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DEFINITION</w:t>
            </w:r>
          </w:p>
        </w:tc>
        <w:tc>
          <w:tcPr>
            <w:tcW w:w="4508" w:type="dxa"/>
          </w:tcPr>
          <w:p w14:paraId="657E1D7C" w14:textId="77777777" w:rsidR="008903DB" w:rsidRDefault="009B1C45">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MEANING</w:t>
            </w:r>
          </w:p>
        </w:tc>
      </w:tr>
      <w:tr w:rsidR="008903DB" w14:paraId="303AA230" w14:textId="77777777">
        <w:tc>
          <w:tcPr>
            <w:tcW w:w="4508" w:type="dxa"/>
            <w:vAlign w:val="center"/>
          </w:tcPr>
          <w:p w14:paraId="11696DF7"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“Annual Pension Cost”</w:t>
            </w:r>
          </w:p>
        </w:tc>
        <w:tc>
          <w:tcPr>
            <w:tcW w:w="4508" w:type="dxa"/>
            <w:vAlign w:val="center"/>
          </w:tcPr>
          <w:p w14:paraId="14AC475E"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Employer Pension Contributions, subject to the Employer Pension Contribution Cap;</w:t>
            </w:r>
          </w:p>
        </w:tc>
      </w:tr>
      <w:tr w:rsidR="008903DB" w14:paraId="78C892B5" w14:textId="77777777">
        <w:tc>
          <w:tcPr>
            <w:tcW w:w="4508" w:type="dxa"/>
            <w:vAlign w:val="center"/>
          </w:tcPr>
          <w:p w14:paraId="546CD863"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“Direct Award TUPE Risk Premium”</w:t>
            </w:r>
          </w:p>
        </w:tc>
        <w:tc>
          <w:tcPr>
            <w:tcW w:w="4508" w:type="dxa"/>
            <w:vAlign w:val="center"/>
          </w:tcPr>
          <w:p w14:paraId="6EB63CB5"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6043D76D"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25AC4B30"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5DCD3B11"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255FD1B8"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r>
            <w:r>
              <w:rPr>
                <w:rFonts w:ascii="Arial" w:eastAsia="Arial" w:hAnsi="Arial"/>
                <w:color w:val="000000"/>
                <w:sz w:val="24"/>
                <w:szCs w:val="24"/>
              </w:rPr>
              <w:t>annual salary;</w:t>
            </w:r>
          </w:p>
          <w:p w14:paraId="67FD51D0"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7C388DD2"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20A5BBC2"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1120CEBB"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32A799D3"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62C50ED7"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r>
            <w:r>
              <w:rPr>
                <w:rFonts w:ascii="Arial" w:eastAsia="Arial" w:hAnsi="Arial"/>
                <w:color w:val="000000"/>
                <w:sz w:val="24"/>
                <w:szCs w:val="24"/>
              </w:rPr>
              <w:t xml:space="preserve">any other cost arising directly from the contract of employment of the Transferring Former Supplier Employee and or Transferring Buyer Employee, </w:t>
            </w:r>
          </w:p>
          <w:p w14:paraId="3CD72A1E"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1 of Call Off Schedule 28 (TUPE Surcharge);</w:t>
            </w:r>
          </w:p>
          <w:p w14:paraId="25779CD6" w14:textId="77777777" w:rsidR="008903DB" w:rsidRDefault="008903D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8903DB" w14:paraId="7DF61C33" w14:textId="77777777">
        <w:tc>
          <w:tcPr>
            <w:tcW w:w="4508" w:type="dxa"/>
            <w:vAlign w:val="center"/>
          </w:tcPr>
          <w:p w14:paraId="41B12935"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“Cost of Change”</w:t>
            </w:r>
          </w:p>
        </w:tc>
        <w:tc>
          <w:tcPr>
            <w:tcW w:w="4508" w:type="dxa"/>
            <w:vAlign w:val="center"/>
          </w:tcPr>
          <w:p w14:paraId="4486AF0B"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rsidR="008903DB" w14:paraId="355AD2FF" w14:textId="77777777">
        <w:tc>
          <w:tcPr>
            <w:tcW w:w="4508" w:type="dxa"/>
            <w:vAlign w:val="center"/>
          </w:tcPr>
          <w:p w14:paraId="65A4BD3F"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w:t>
            </w:r>
          </w:p>
        </w:tc>
        <w:tc>
          <w:tcPr>
            <w:tcW w:w="4508" w:type="dxa"/>
            <w:vAlign w:val="center"/>
          </w:tcPr>
          <w:p w14:paraId="7BFD094D"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standard employer pension contributions paid in accordance with the relevant pension scheme rules and used in the calculation of the TUPE Risk Premium less any costs recoverable under Annex D3: LGPS of Part D Pensions of Schedule 2 Staff Transfer;</w:t>
            </w:r>
          </w:p>
        </w:tc>
      </w:tr>
      <w:tr w:rsidR="008903DB" w14:paraId="35A63DC1" w14:textId="77777777">
        <w:tc>
          <w:tcPr>
            <w:tcW w:w="4508" w:type="dxa"/>
            <w:vAlign w:val="center"/>
          </w:tcPr>
          <w:p w14:paraId="785D5C92"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 Cap"</w:t>
            </w:r>
          </w:p>
        </w:tc>
        <w:tc>
          <w:tcPr>
            <w:tcW w:w="4508" w:type="dxa"/>
            <w:vAlign w:val="center"/>
          </w:tcPr>
          <w:p w14:paraId="30B5485F"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6% maximum rate of Employer Pension Contribution used in the calculation of the TUPE Risk Premium;</w:t>
            </w:r>
          </w:p>
        </w:tc>
      </w:tr>
      <w:tr w:rsidR="008903DB" w14:paraId="2EE7D7B9" w14:textId="77777777">
        <w:tc>
          <w:tcPr>
            <w:tcW w:w="4508" w:type="dxa"/>
            <w:vAlign w:val="center"/>
          </w:tcPr>
          <w:p w14:paraId="459BD567"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“Fixed Fee TUPE Risk Premium”</w:t>
            </w:r>
          </w:p>
        </w:tc>
        <w:tc>
          <w:tcPr>
            <w:tcW w:w="4508" w:type="dxa"/>
            <w:vAlign w:val="center"/>
          </w:tcPr>
          <w:p w14:paraId="0656A46B"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44EE41BC"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035CB13A"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1607AF14"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3FD43DCD"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annual salary;</w:t>
            </w:r>
          </w:p>
          <w:p w14:paraId="4C53A967"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4096BCA5"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71CFD2D1"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4CD783B3"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lastRenderedPageBreak/>
              <w:t>v)</w:t>
            </w:r>
            <w:r>
              <w:rPr>
                <w:rFonts w:ascii="Arial" w:eastAsia="Arial" w:hAnsi="Arial"/>
                <w:color w:val="000000"/>
                <w:sz w:val="24"/>
                <w:szCs w:val="24"/>
              </w:rPr>
              <w:tab/>
              <w:t>annual sick pay entitlement;</w:t>
            </w:r>
          </w:p>
          <w:p w14:paraId="02E459E6"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0D59874D"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r>
            <w:r>
              <w:rPr>
                <w:rFonts w:ascii="Arial" w:eastAsia="Arial" w:hAnsi="Arial"/>
                <w:color w:val="000000"/>
                <w:sz w:val="24"/>
                <w:szCs w:val="24"/>
              </w:rPr>
              <w:t xml:space="preserve">any other cost arising directly from the contract of employment of the Transferring Former Supplier Employee and or Transferring Buyer Employee, </w:t>
            </w:r>
          </w:p>
          <w:p w14:paraId="3EA85809"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3 of Call Off Schedule 28 (TUPE Surcharge);</w:t>
            </w:r>
          </w:p>
          <w:p w14:paraId="5B46318D" w14:textId="77777777" w:rsidR="008903DB" w:rsidRDefault="008903D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8903DB" w14:paraId="5841E49D" w14:textId="77777777">
        <w:tc>
          <w:tcPr>
            <w:tcW w:w="4508" w:type="dxa"/>
            <w:vAlign w:val="center"/>
          </w:tcPr>
          <w:p w14:paraId="0F4BA475"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"Further Competition TUPE Risk Premium"</w:t>
            </w:r>
          </w:p>
        </w:tc>
        <w:tc>
          <w:tcPr>
            <w:tcW w:w="4508" w:type="dxa"/>
            <w:vAlign w:val="center"/>
          </w:tcPr>
          <w:p w14:paraId="63F0E495"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2B7E1E4B"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205CE7E2"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27388B44"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3F437217"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annual salary;</w:t>
            </w:r>
          </w:p>
          <w:p w14:paraId="197CB3A6"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6004B23B"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2F3673DA"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570733AE"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4A5690F9"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76047679"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2441EDE1"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2 of Call Off Schedule 28 (TUPE Surcharge);</w:t>
            </w:r>
          </w:p>
          <w:p w14:paraId="104F9633" w14:textId="77777777" w:rsidR="008903DB" w:rsidRDefault="008903D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8903DB" w14:paraId="1A0C6547" w14:textId="77777777">
        <w:tc>
          <w:tcPr>
            <w:tcW w:w="4508" w:type="dxa"/>
            <w:vAlign w:val="center"/>
          </w:tcPr>
          <w:p w14:paraId="72EC3CD0"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"Other Pension Cost"</w:t>
            </w:r>
          </w:p>
        </w:tc>
        <w:tc>
          <w:tcPr>
            <w:tcW w:w="4508" w:type="dxa"/>
            <w:vAlign w:val="center"/>
          </w:tcPr>
          <w:p w14:paraId="6BE5F956" w14:textId="77777777" w:rsidR="008903DB" w:rsidRDefault="008903D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p w14:paraId="709B4928" w14:textId="77777777" w:rsidR="008903DB" w:rsidRDefault="009B1C45">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means:</w:t>
            </w:r>
          </w:p>
          <w:p w14:paraId="1052798C" w14:textId="77777777" w:rsidR="008903DB" w:rsidRDefault="009B1C45">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14:paraId="470DA6A2" w14:textId="77777777" w:rsidR="008903DB" w:rsidRDefault="009B1C45">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14:paraId="71BE6639" w14:textId="77777777" w:rsidR="008903DB" w:rsidRDefault="009B1C45">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w:t>
            </w:r>
            <w:r>
              <w:rPr>
                <w:rFonts w:ascii="Arial" w:eastAsia="Arial" w:hAnsi="Arial"/>
                <w:color w:val="000000"/>
                <w:sz w:val="24"/>
                <w:szCs w:val="24"/>
              </w:rPr>
              <w:t xml:space="preserve">rt D Pensions of Schedule 2 Staff Transfer; and </w:t>
            </w:r>
          </w:p>
          <w:p w14:paraId="30647C96" w14:textId="77777777" w:rsidR="008903DB" w:rsidRDefault="009B1C45">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d)    such other pension contributions, charges or costs incurred by the Supplier which have been expressly agreed by the Buyer in writing to constitute “Other Pension Costs”</w:t>
            </w:r>
          </w:p>
        </w:tc>
      </w:tr>
      <w:tr w:rsidR="008903DB" w14:paraId="3F6932A5" w14:textId="77777777">
        <w:tc>
          <w:tcPr>
            <w:tcW w:w="4508" w:type="dxa"/>
            <w:vAlign w:val="center"/>
          </w:tcPr>
          <w:p w14:paraId="68962603" w14:textId="77777777" w:rsidR="008903DB" w:rsidRDefault="009B1C45">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"TUPE Count"</w:t>
            </w:r>
          </w:p>
        </w:tc>
        <w:tc>
          <w:tcPr>
            <w:tcW w:w="4508" w:type="dxa"/>
            <w:vAlign w:val="center"/>
          </w:tcPr>
          <w:p w14:paraId="633D3D65" w14:textId="77777777" w:rsidR="008903DB" w:rsidRDefault="009B1C45">
            <w:pPr>
              <w:pBdr>
                <w:top w:val="nil"/>
                <w:left w:val="nil"/>
                <w:bottom w:val="nil"/>
                <w:right w:val="nil"/>
                <w:between w:val="nil"/>
              </w:pBdr>
              <w:tabs>
                <w:tab w:val="left" w:pos="175"/>
                <w:tab w:val="left" w:pos="-9"/>
              </w:tabs>
              <w:spacing w:after="120"/>
              <w:jc w:val="left"/>
              <w:rPr>
                <w:rFonts w:ascii="Arial" w:eastAsia="Arial" w:hAnsi="Arial"/>
                <w:color w:val="000000"/>
                <w:sz w:val="24"/>
                <w:szCs w:val="24"/>
              </w:rPr>
            </w:pPr>
            <w:r>
              <w:rPr>
                <w:rFonts w:ascii="Arial" w:eastAsia="Arial" w:hAnsi="Arial"/>
                <w:color w:val="000000"/>
                <w:sz w:val="24"/>
                <w:szCs w:val="24"/>
              </w:rPr>
              <w:t>means the total number of Transferring Former Supplier Employees and/or Transferring Buyer Employees identified in the Employee Liability  Information;</w:t>
            </w:r>
          </w:p>
        </w:tc>
      </w:tr>
      <w:tr w:rsidR="008903DB" w14:paraId="5BDF4EF9" w14:textId="77777777">
        <w:tc>
          <w:tcPr>
            <w:tcW w:w="4508" w:type="dxa"/>
            <w:vAlign w:val="center"/>
          </w:tcPr>
          <w:p w14:paraId="41C8AD72" w14:textId="77777777" w:rsidR="008903DB" w:rsidRDefault="009B1C45">
            <w:pPr>
              <w:ind w:left="72"/>
              <w:jc w:val="center"/>
              <w:rPr>
                <w:rFonts w:ascii="Arial" w:eastAsia="Arial" w:hAnsi="Arial"/>
                <w:b/>
                <w:color w:val="000000"/>
                <w:sz w:val="24"/>
                <w:szCs w:val="24"/>
              </w:rPr>
            </w:pPr>
            <w:r>
              <w:rPr>
                <w:rFonts w:ascii="Arial" w:eastAsia="Arial" w:hAnsi="Arial"/>
                <w:b/>
                <w:color w:val="000000"/>
                <w:sz w:val="24"/>
                <w:szCs w:val="24"/>
              </w:rPr>
              <w:t>"TUPE Risk Premium"</w:t>
            </w:r>
          </w:p>
        </w:tc>
        <w:tc>
          <w:tcPr>
            <w:tcW w:w="4508" w:type="dxa"/>
            <w:vAlign w:val="center"/>
          </w:tcPr>
          <w:p w14:paraId="4AB2CF85"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either the:</w:t>
            </w:r>
          </w:p>
          <w:p w14:paraId="48D00ABE"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lastRenderedPageBreak/>
              <w:t>a)</w:t>
            </w:r>
            <w:r>
              <w:rPr>
                <w:rFonts w:ascii="Arial" w:eastAsia="Arial" w:hAnsi="Arial"/>
                <w:color w:val="000000"/>
                <w:sz w:val="24"/>
                <w:szCs w:val="24"/>
              </w:rPr>
              <w:tab/>
              <w:t>Direct Award TUPE Risk Premium;</w:t>
            </w:r>
          </w:p>
          <w:p w14:paraId="7038E44D"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bookmarkStart w:id="2" w:name="_heading=h.2s8eyo1" w:colFirst="0" w:colLast="0"/>
            <w:bookmarkEnd w:id="2"/>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Further Competition TUPE Risk Premium; or</w:t>
            </w:r>
          </w:p>
          <w:p w14:paraId="519B508A"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Fixed Fee TUPE Risk Premium,</w:t>
            </w:r>
          </w:p>
          <w:p w14:paraId="4E6D8DA2"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as the context requires;</w:t>
            </w:r>
          </w:p>
        </w:tc>
      </w:tr>
      <w:tr w:rsidR="008903DB" w14:paraId="672E9A3F" w14:textId="77777777">
        <w:tc>
          <w:tcPr>
            <w:tcW w:w="4508" w:type="dxa"/>
            <w:vAlign w:val="center"/>
          </w:tcPr>
          <w:p w14:paraId="20E59F78" w14:textId="77777777" w:rsidR="008903DB" w:rsidRDefault="009B1C45">
            <w:pPr>
              <w:ind w:left="72"/>
              <w:jc w:val="center"/>
              <w:rPr>
                <w:rFonts w:ascii="Arial" w:eastAsia="Arial" w:hAnsi="Arial"/>
                <w:b/>
                <w:color w:val="000000"/>
                <w:sz w:val="24"/>
                <w:szCs w:val="24"/>
              </w:rPr>
            </w:pPr>
            <w:r>
              <w:rPr>
                <w:rFonts w:ascii="Arial" w:eastAsia="Arial" w:hAnsi="Arial"/>
                <w:b/>
                <w:color w:val="000000"/>
                <w:sz w:val="24"/>
                <w:szCs w:val="24"/>
              </w:rPr>
              <w:lastRenderedPageBreak/>
              <w:t>"TUPE Risk Premium Average"</w:t>
            </w:r>
          </w:p>
        </w:tc>
        <w:tc>
          <w:tcPr>
            <w:tcW w:w="4508" w:type="dxa"/>
            <w:vAlign w:val="center"/>
          </w:tcPr>
          <w:p w14:paraId="24237F7C"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the average  calculated by dividing the Further Competition TUPE Risk Premium by the lower of either:</w:t>
            </w:r>
          </w:p>
          <w:p w14:paraId="00DE7711"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Labour Count; or</w:t>
            </w:r>
          </w:p>
          <w:p w14:paraId="718A716F" w14:textId="77777777" w:rsidR="008903DB" w:rsidRDefault="009B1C45">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TUPE Count.</w:t>
            </w:r>
          </w:p>
        </w:tc>
      </w:tr>
    </w:tbl>
    <w:p w14:paraId="01E05010" w14:textId="77777777" w:rsidR="008903DB" w:rsidRDefault="008903DB">
      <w:pPr>
        <w:keepNext/>
        <w:pBdr>
          <w:top w:val="nil"/>
          <w:left w:val="nil"/>
          <w:bottom w:val="nil"/>
          <w:right w:val="nil"/>
          <w:between w:val="nil"/>
        </w:pBdr>
        <w:rPr>
          <w:rFonts w:ascii="Arial" w:eastAsia="Arial" w:hAnsi="Arial"/>
          <w:b/>
          <w:smallCaps/>
          <w:color w:val="000000"/>
          <w:sz w:val="24"/>
          <w:szCs w:val="24"/>
        </w:rPr>
      </w:pPr>
    </w:p>
    <w:p w14:paraId="156C1BE1" w14:textId="77777777" w:rsidR="008903DB" w:rsidRDefault="008903DB">
      <w:pPr>
        <w:keepNext/>
        <w:pBdr>
          <w:top w:val="nil"/>
          <w:left w:val="nil"/>
          <w:bottom w:val="nil"/>
          <w:right w:val="nil"/>
          <w:between w:val="nil"/>
        </w:pBdr>
        <w:rPr>
          <w:rFonts w:ascii="Arial" w:eastAsia="Arial" w:hAnsi="Arial"/>
          <w:b/>
          <w:smallCaps/>
          <w:color w:val="000000"/>
          <w:sz w:val="24"/>
          <w:szCs w:val="24"/>
        </w:rPr>
      </w:pPr>
    </w:p>
    <w:p w14:paraId="6F7644B4" w14:textId="77777777" w:rsidR="008903DB" w:rsidRDefault="009B1C45">
      <w:pPr>
        <w:numPr>
          <w:ilvl w:val="0"/>
          <w:numId w:val="2"/>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 xml:space="preserve">Option 1 – Direct Award – TUPE Risk Premium </w:t>
      </w:r>
    </w:p>
    <w:p w14:paraId="2736A68D"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Direct Award TUPE Risk Premium shall be priced for during the Mobilisation Period (as agreed by the Buyer) and shall follow the process described within Option 2 – Further Competition TUPE Risk Premium.</w:t>
      </w:r>
    </w:p>
    <w:p w14:paraId="76A03E1E" w14:textId="77777777" w:rsidR="008903DB" w:rsidRDefault="008903D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7C7C0F5D" w14:textId="77777777" w:rsidR="008903DB" w:rsidRDefault="009B1C45">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3" w:name="_heading=h.3znysh7" w:colFirst="0" w:colLast="0"/>
      <w:bookmarkEnd w:id="3"/>
      <w:r>
        <w:rPr>
          <w:rFonts w:ascii="Arial" w:eastAsia="Arial" w:hAnsi="Arial"/>
          <w:b/>
          <w:color w:val="000000"/>
          <w:sz w:val="24"/>
          <w:szCs w:val="24"/>
        </w:rPr>
        <w:t>Option 2- Further Competition TUPE Risk Premium</w:t>
      </w:r>
    </w:p>
    <w:p w14:paraId="3E665666"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Further Competition TUPE Risk Premium shall be priced for at Further Competition as set out in Annex 1 - Call Off Schedule 5 (Pricing Details)</w:t>
      </w:r>
    </w:p>
    <w:p w14:paraId="770D6B61"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 Relevant Transfer takes place, or will take place, the Supplier shall, no later than 20 Working Days after the Relevant Transfer Date, submit to the Buyer:</w:t>
      </w:r>
    </w:p>
    <w:p w14:paraId="58DD70C2"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notice that no adjustment is required and the Further Competition TUPE Risk Premium submitted at Call-Off Tender will be used. </w:t>
      </w:r>
    </w:p>
    <w:p w14:paraId="423B9A84" w14:textId="77777777" w:rsidR="008903DB" w:rsidRDefault="009B1C45">
      <w:pPr>
        <w:pBdr>
          <w:top w:val="nil"/>
          <w:left w:val="nil"/>
          <w:bottom w:val="nil"/>
          <w:right w:val="nil"/>
          <w:between w:val="nil"/>
        </w:pBdr>
        <w:tabs>
          <w:tab w:val="left" w:pos="1985"/>
        </w:tabs>
        <w:spacing w:before="120" w:after="120"/>
        <w:ind w:left="2610" w:hanging="720"/>
        <w:rPr>
          <w:rFonts w:ascii="Arial" w:eastAsia="Arial" w:hAnsi="Arial"/>
          <w:color w:val="000000"/>
          <w:sz w:val="24"/>
          <w:szCs w:val="24"/>
        </w:rPr>
      </w:pPr>
      <w:r>
        <w:rPr>
          <w:rFonts w:ascii="Arial" w:eastAsia="Arial" w:hAnsi="Arial"/>
          <w:color w:val="000000"/>
          <w:sz w:val="24"/>
          <w:szCs w:val="24"/>
        </w:rPr>
        <w:t>or</w:t>
      </w:r>
    </w:p>
    <w:p w14:paraId="03A3A435"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its updated calculation of the Further Competition TUPE Risk Premium together with a breakdown and supporting evidence as may be reasonably required for the Buyer to corroborate and assess the calculation of the Further Competition TUPE Risk Premium.</w:t>
      </w:r>
    </w:p>
    <w:p w14:paraId="37DF2819" w14:textId="77777777" w:rsidR="008903DB" w:rsidRDefault="008903D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07120C52"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Further Competition TUPE Risk Premium, when post award adjustment</w:t>
      </w:r>
    </w:p>
    <w:p w14:paraId="5A6F52F8"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Supplier may request a Further Competition TUPE Risk Premium adjustment, and the Buyer may grant the request, if:</w:t>
      </w:r>
    </w:p>
    <w:p w14:paraId="7BCEE23C"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lastRenderedPageBreak/>
        <w:t xml:space="preserve">the Supplier can evidence any inaccuracies or omissions in the information in the following areas provided during the Further Competition: </w:t>
      </w:r>
    </w:p>
    <w:p w14:paraId="4ACA1873" w14:textId="77777777" w:rsidR="008903DB" w:rsidRDefault="009B1C45">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TUPE Count; </w:t>
      </w:r>
    </w:p>
    <w:p w14:paraId="4618C8F9" w14:textId="77777777" w:rsidR="008903DB" w:rsidRDefault="009B1C45">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any costs covered by the  Further Competition TUPE Risk Premium; and/or</w:t>
      </w:r>
    </w:p>
    <w:p w14:paraId="3FE2C017"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there are any other unknown costs arising directly from the contract of employment of the Transferring Former Supplier Employee and/or Transferring Buyer Employee, </w:t>
      </w:r>
    </w:p>
    <w:p w14:paraId="78EFFEB4" w14:textId="77777777" w:rsidR="008903DB" w:rsidRDefault="009B1C45">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r>
        <w:rPr>
          <w:rFonts w:ascii="Arial" w:eastAsia="Arial" w:hAnsi="Arial"/>
          <w:color w:val="000000"/>
          <w:sz w:val="24"/>
          <w:szCs w:val="24"/>
        </w:rPr>
        <w:t xml:space="preserve">and where a full breakdown and supporting evidence is submitted in support of a request to adjust the Further Competition TUPE Risk Premium. </w:t>
      </w:r>
    </w:p>
    <w:p w14:paraId="2A0B431E"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receipt of the Suppliers calculation of the Further Competition TUPE Risk Premium and, if applicable, a request for a Further Competition TUPE Risk Premium adjustment, the Buyer shall either:</w:t>
      </w:r>
    </w:p>
    <w:p w14:paraId="0D1A95F7"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Further Competition TUPE Risk Premium and, if applicable, the Further Competition TUPE Risk Premium adjustment relating to the Relevant Transfer; </w:t>
      </w:r>
    </w:p>
    <w:p w14:paraId="4FF7E3D2"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3EBC6E1"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37398C8A"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14:paraId="35D16C11"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Supplier requests a Further Competition TUPE Risk Premium adjustment and it is agreed by the Buyer, the Further Competition TUPE Risk Premium shall be adjusted accordingly.</w:t>
      </w:r>
    </w:p>
    <w:p w14:paraId="3E2B8B2A"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Parties are unable to agree either the Further Competition TUPE Risk Premium or, if applicable, the Further Competition TUPE Risk Premium adjustment, the Parties shall follow the Dispute Resolution Procedure.</w:t>
      </w:r>
    </w:p>
    <w:p w14:paraId="27868C92"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agreement of the Further Competition TUPE Risk Premium the Further Competition TUPE Risk Premium Average shall be calculated and this will be used as the basis for the  annual  review of the Further Competition TUPE Risk Premium.</w:t>
      </w:r>
    </w:p>
    <w:p w14:paraId="6FCB8D5C"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b/>
          <w:color w:val="000000"/>
          <w:sz w:val="24"/>
          <w:szCs w:val="24"/>
        </w:rPr>
        <w:t>Annual review of Further Competition TUPE Risk Premium</w:t>
      </w:r>
    </w:p>
    <w:p w14:paraId="6EFAF7D5"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Further Competition TUPE Risk Premium shall be reviewed by the Buyer at the commencement of each Contract Year.</w:t>
      </w:r>
    </w:p>
    <w:p w14:paraId="2D02987F"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Supplier shall submit to the Buyer, no later than 20 Working Days prior to the beginning of each Contract Year, evidence of any change to the TUPE Count in the previous Contract Year or since it was last adjusted. </w:t>
      </w:r>
    </w:p>
    <w:p w14:paraId="57A10C30"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lastRenderedPageBreak/>
        <w:t>Where the TUPE Count is less than the TUPE Count in the previous Contract Year, the Further Competition TUPE Risk Premium shall be adjusted using the following calculation:</w:t>
      </w:r>
    </w:p>
    <w:p w14:paraId="585D7549"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Difference in TUPE Count (Previous Contract Year less current Contract Year) x TUPE Risk Premium Average.</w:t>
      </w:r>
    </w:p>
    <w:p w14:paraId="14696849"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14:paraId="2AD2682D" w14:textId="77777777" w:rsidR="008903DB" w:rsidRDefault="009B1C45">
      <w:pPr>
        <w:numPr>
          <w:ilvl w:val="3"/>
          <w:numId w:val="2"/>
        </w:numPr>
        <w:pBdr>
          <w:top w:val="nil"/>
          <w:left w:val="nil"/>
          <w:bottom w:val="nil"/>
          <w:right w:val="nil"/>
          <w:between w:val="nil"/>
        </w:pBdr>
        <w:tabs>
          <w:tab w:val="left" w:pos="1985"/>
        </w:tabs>
        <w:spacing w:after="120"/>
        <w:rPr>
          <w:rFonts w:ascii="Arial" w:eastAsia="Arial" w:hAnsi="Arial"/>
          <w:color w:val="000000"/>
          <w:sz w:val="24"/>
          <w:szCs w:val="24"/>
        </w:rPr>
      </w:pPr>
      <w:r>
        <w:rPr>
          <w:rFonts w:ascii="Arial" w:eastAsia="Arial" w:hAnsi="Arial"/>
          <w:color w:val="000000"/>
          <w:sz w:val="24"/>
          <w:szCs w:val="24"/>
        </w:rPr>
        <w:t>If an employee ceases to be employed part way through the year, the TUPE Risk Premium Average allocated to that employee will be deducted on a pro rata basis.</w:t>
      </w:r>
    </w:p>
    <w:p w14:paraId="64F34DE7"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Further Competition TUPE Risk Premium submitted pursuant to paragraph 2.3.2 the Buyer shall either:</w:t>
      </w:r>
    </w:p>
    <w:p w14:paraId="650082AA"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adjusted Further Competition TUPE Risk Premium; or </w:t>
      </w:r>
    </w:p>
    <w:p w14:paraId="5FA1953D"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54E72B10" w14:textId="77777777" w:rsidR="008903DB" w:rsidRDefault="009B1C45">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436BDFDA"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14:paraId="1C777C46"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Supplier and the Buyer are unable to agree the adjustment to the Further Competition TUPE Risk Premium, they shall follow the Dispute Resolution Procedure.</w:t>
      </w:r>
    </w:p>
    <w:p w14:paraId="2EE7473F"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adjusted Further Competition TUPE Risk Premium shall be used as the benchmark in the subsequent annual review of the Further Competition TUPE Risk Premium.</w:t>
      </w:r>
    </w:p>
    <w:p w14:paraId="79A5101A"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Where the adjusted Further Competition TUPE Risk Premium is more than the Further Competition TUPE Risk Premium in the previous Contract Year, the Further Competition TUPE Risk Premium shall not be adjusted</w:t>
      </w:r>
      <w:r>
        <w:rPr>
          <w:rFonts w:ascii="Arial" w:eastAsia="Arial" w:hAnsi="Arial"/>
          <w:b/>
          <w:color w:val="000000"/>
          <w:sz w:val="24"/>
          <w:szCs w:val="24"/>
        </w:rPr>
        <w:t>.</w:t>
      </w:r>
    </w:p>
    <w:p w14:paraId="4C67BBF1"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Right of audit</w:t>
      </w:r>
    </w:p>
    <w:p w14:paraId="42A1E830"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The Buyer reserves the right to review and audit the calculation of the Further Competition TUPE Risk Premium at any time. </w:t>
      </w:r>
    </w:p>
    <w:p w14:paraId="585558E5" w14:textId="77777777" w:rsidR="008903DB" w:rsidRDefault="009B1C45">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14:paraId="5D4032C4" w14:textId="77777777" w:rsidR="008903DB" w:rsidRDefault="008903DB">
      <w:pPr>
        <w:pBdr>
          <w:top w:val="nil"/>
          <w:left w:val="nil"/>
          <w:bottom w:val="nil"/>
          <w:right w:val="nil"/>
          <w:between w:val="nil"/>
        </w:pBdr>
        <w:tabs>
          <w:tab w:val="left" w:pos="1985"/>
        </w:tabs>
        <w:spacing w:before="120" w:after="120"/>
        <w:rPr>
          <w:rFonts w:ascii="Arial" w:eastAsia="Arial" w:hAnsi="Arial"/>
          <w:color w:val="000000"/>
          <w:sz w:val="24"/>
          <w:szCs w:val="24"/>
        </w:rPr>
      </w:pPr>
    </w:p>
    <w:p w14:paraId="02E8606C" w14:textId="77777777" w:rsidR="008903DB" w:rsidRDefault="009B1C45">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7" w:name="_heading=h.3dy6vkm" w:colFirst="0" w:colLast="0"/>
      <w:bookmarkEnd w:id="7"/>
      <w:r>
        <w:rPr>
          <w:rFonts w:ascii="Arial" w:eastAsia="Arial" w:hAnsi="Arial"/>
          <w:b/>
          <w:color w:val="000000"/>
          <w:sz w:val="24"/>
          <w:szCs w:val="24"/>
        </w:rPr>
        <w:lastRenderedPageBreak/>
        <w:t>Option 3 – Further Competition - Fixed Fee TUPE Risk Premium</w:t>
      </w:r>
    </w:p>
    <w:p w14:paraId="27C7D332" w14:textId="77777777" w:rsidR="008903DB" w:rsidRDefault="009B1C45">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Fixed Fee TUPE Risk Premium shall be priced for at Further Competition as set out in Annex 1 - Call Off Schedule 5 (Pricing Details).</w:t>
      </w:r>
    </w:p>
    <w:p w14:paraId="37FDF557" w14:textId="77777777" w:rsidR="008903DB" w:rsidRDefault="009B1C45">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 and no further adjustments shall be permitted except as set out in paragraph 4 of this Schedule 28 (TUPE Surcharge).</w:t>
      </w:r>
    </w:p>
    <w:p w14:paraId="24B9E2B9" w14:textId="77777777" w:rsidR="008903DB" w:rsidRDefault="008903DB">
      <w:pPr>
        <w:pBdr>
          <w:top w:val="nil"/>
          <w:left w:val="nil"/>
          <w:bottom w:val="nil"/>
          <w:right w:val="nil"/>
          <w:between w:val="nil"/>
        </w:pBdr>
        <w:tabs>
          <w:tab w:val="left" w:pos="1134"/>
        </w:tabs>
        <w:spacing w:before="120" w:after="120"/>
        <w:rPr>
          <w:rFonts w:ascii="Arial" w:eastAsia="Arial" w:hAnsi="Arial"/>
          <w:color w:val="000000"/>
          <w:sz w:val="24"/>
          <w:szCs w:val="24"/>
        </w:rPr>
      </w:pPr>
    </w:p>
    <w:p w14:paraId="0A3B9E10" w14:textId="77777777" w:rsidR="008903DB" w:rsidRDefault="009B1C45">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r>
        <w:rPr>
          <w:rFonts w:ascii="Arial" w:eastAsia="Arial" w:hAnsi="Arial"/>
          <w:b/>
          <w:color w:val="000000"/>
          <w:sz w:val="24"/>
          <w:szCs w:val="24"/>
        </w:rPr>
        <w:t>Employer Pensions Contribution Cap &amp; other pension cost</w:t>
      </w:r>
    </w:p>
    <w:p w14:paraId="2C2B90E6" w14:textId="77777777" w:rsidR="008903DB" w:rsidRDefault="009B1C45">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For options detailed at paragraphs 1, 2 and 3 above the following shall apply.</w:t>
      </w:r>
    </w:p>
    <w:p w14:paraId="1E628D2A" w14:textId="77777777" w:rsidR="008903DB" w:rsidRDefault="008903DB">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p>
    <w:p w14:paraId="45CE5448" w14:textId="77777777" w:rsidR="008903DB" w:rsidRDefault="009B1C45">
      <w:pPr>
        <w:numPr>
          <w:ilvl w:val="2"/>
          <w:numId w:val="1"/>
        </w:numPr>
        <w:pBdr>
          <w:top w:val="nil"/>
          <w:left w:val="nil"/>
          <w:bottom w:val="nil"/>
          <w:right w:val="nil"/>
          <w:between w:val="nil"/>
        </w:pBdr>
        <w:tabs>
          <w:tab w:val="left" w:pos="175"/>
        </w:tabs>
        <w:spacing w:after="120"/>
        <w:ind w:left="1620"/>
        <w:rPr>
          <w:rFonts w:ascii="Arial" w:eastAsia="Arial" w:hAnsi="Arial"/>
          <w:color w:val="000000"/>
          <w:sz w:val="24"/>
          <w:szCs w:val="24"/>
        </w:rPr>
      </w:pPr>
      <w:r>
        <w:rPr>
          <w:rFonts w:ascii="Arial" w:eastAsia="Arial" w:hAnsi="Arial"/>
          <w:color w:val="000000"/>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14:paraId="178427B3" w14:textId="77777777" w:rsidR="008903DB" w:rsidRDefault="009B1C45">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the Supplier requests a pension adjustment in accordance with the provisions of paragraph 4.1.1. above the TUPE Risk Premium, they must provide sufficient evidence to the Buyer to justify the pension adjustment.</w:t>
      </w:r>
    </w:p>
    <w:p w14:paraId="43F3B3D3"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On receipt of the Supplier's calculation of the  pension adjustment the Buyer shall either:</w:t>
      </w:r>
    </w:p>
    <w:p w14:paraId="77468F86"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pension  adjustment; </w:t>
      </w:r>
    </w:p>
    <w:p w14:paraId="68FCFAC4"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4C2D3168"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7CCD3473"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pension adjustment in Paragraph 4.1.1 is agreed following the receipt of further information/evidence or following a meeting, the Buyer shall notify the Supplier in writing. </w:t>
      </w:r>
    </w:p>
    <w:p w14:paraId="67621F87"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In the event that the Supplier and the Buyer are unable to agree the pension adjustment, they shall follow the Dispute Resolution Procedure. </w:t>
      </w:r>
    </w:p>
    <w:p w14:paraId="3A6072B5"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paragraph 4.1.4 above applies, the excess amount calculated for the pension adjustment is not included in any calculation of the TUPE Risk Premium Average.</w:t>
      </w:r>
    </w:p>
    <w:p w14:paraId="211D5C7A"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Any pension adjustment agreed by the Buyer over the Employer Pension Contribution Cap or in respect of Other Pension Cost shall be paid within timescales as agreed between Buyer and Supplier</w:t>
      </w:r>
    </w:p>
    <w:p w14:paraId="7E717C2C" w14:textId="77777777" w:rsidR="008903DB" w:rsidRDefault="009B1C45">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Cost of Change</w:t>
      </w:r>
    </w:p>
    <w:p w14:paraId="62B5AB9A" w14:textId="77777777" w:rsidR="008903DB" w:rsidRDefault="009B1C4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1 and 2 Direct Award TUPE Risk Premium and Further Competition TUPE Risk Premium.</w:t>
      </w:r>
    </w:p>
    <w:p w14:paraId="6E852A74" w14:textId="77777777" w:rsidR="008903DB" w:rsidRDefault="009B1C45">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9" w:name="_heading=h.gjdgxs" w:colFirst="0" w:colLast="0"/>
      <w:bookmarkEnd w:id="9"/>
      <w:r>
        <w:rPr>
          <w:rFonts w:ascii="Arial" w:eastAsia="Arial" w:hAnsi="Arial"/>
          <w:color w:val="000000"/>
          <w:sz w:val="24"/>
          <w:szCs w:val="24"/>
        </w:rPr>
        <w:lastRenderedPageBreak/>
        <w:t>If the Supplier requests a post award adjustment, they must provide sufficient evidence to the Buyer to justify the post award adjustment.</w:t>
      </w:r>
    </w:p>
    <w:p w14:paraId="05BA997B" w14:textId="77777777" w:rsidR="008903DB" w:rsidRDefault="009B1C45">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post award adjustment the Buyer shall either:</w:t>
      </w:r>
    </w:p>
    <w:p w14:paraId="629EC88A"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Notify the Supplier in writing of acceptance of the Cost of Change adjustments, or</w:t>
      </w:r>
    </w:p>
    <w:p w14:paraId="00805391"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561297B3" w14:textId="77777777" w:rsidR="008903DB" w:rsidRDefault="009B1C45">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22528672" w14:textId="77777777" w:rsidR="008903DB" w:rsidRDefault="009B1C45">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3 – Further Competition Fixed Fee TUPE Risk Premium</w:t>
      </w:r>
    </w:p>
    <w:p w14:paraId="52FC8F3E" w14:textId="77777777" w:rsidR="008903DB" w:rsidRDefault="009B1C45">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shall be no post award adjustment to Cost of Change.</w:t>
      </w:r>
    </w:p>
    <w:p w14:paraId="3E101078" w14:textId="77777777" w:rsidR="008903DB" w:rsidRDefault="008903DB">
      <w:pPr>
        <w:pBdr>
          <w:top w:val="nil"/>
          <w:left w:val="nil"/>
          <w:bottom w:val="nil"/>
          <w:right w:val="nil"/>
          <w:between w:val="nil"/>
        </w:pBdr>
        <w:tabs>
          <w:tab w:val="left" w:pos="1134"/>
        </w:tabs>
        <w:spacing w:before="120" w:after="120"/>
        <w:ind w:left="1078" w:hanging="579"/>
        <w:rPr>
          <w:rFonts w:ascii="Arial" w:eastAsia="Arial" w:hAnsi="Arial"/>
          <w:color w:val="000000"/>
          <w:sz w:val="24"/>
          <w:szCs w:val="24"/>
        </w:rPr>
      </w:pPr>
    </w:p>
    <w:p w14:paraId="0954A85C" w14:textId="77777777" w:rsidR="008903DB" w:rsidRDefault="009B1C45">
      <w:pPr>
        <w:spacing w:after="0"/>
        <w:jc w:val="left"/>
        <w:rPr>
          <w:rFonts w:ascii="Arial" w:eastAsia="Arial" w:hAnsi="Arial"/>
          <w:color w:val="000000"/>
          <w:sz w:val="24"/>
          <w:szCs w:val="24"/>
        </w:rPr>
      </w:pPr>
      <w:r>
        <w:rPr>
          <w:rFonts w:ascii="Arial" w:eastAsia="Arial" w:hAnsi="Arial"/>
          <w:color w:val="000000"/>
          <w:sz w:val="24"/>
          <w:szCs w:val="24"/>
        </w:rPr>
        <w:t xml:space="preserve"> </w:t>
      </w:r>
    </w:p>
    <w:sectPr w:rsidR="008903D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CD21E" w14:textId="77777777" w:rsidR="009B1C45" w:rsidRDefault="009B1C45">
      <w:pPr>
        <w:spacing w:after="0"/>
      </w:pPr>
      <w:r>
        <w:separator/>
      </w:r>
    </w:p>
  </w:endnote>
  <w:endnote w:type="continuationSeparator" w:id="0">
    <w:p w14:paraId="2AD25884" w14:textId="77777777" w:rsidR="009B1C45" w:rsidRDefault="009B1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C63A" w14:textId="77777777" w:rsidR="008903DB" w:rsidRDefault="008903DB">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FD4B" w14:textId="77777777" w:rsidR="008903DB" w:rsidRDefault="009B1C45">
    <w:pPr>
      <w:spacing w:after="0" w:line="276" w:lineRule="auto"/>
      <w:rPr>
        <w:rFonts w:ascii="Arial" w:eastAsia="Arial" w:hAnsi="Arial"/>
        <w:sz w:val="20"/>
        <w:szCs w:val="20"/>
      </w:rPr>
    </w:pPr>
    <w:r>
      <w:rPr>
        <w:rFonts w:ascii="Arial" w:eastAsia="Arial" w:hAnsi="Arial"/>
        <w:sz w:val="20"/>
        <w:szCs w:val="20"/>
      </w:rPr>
      <w:t>Framework Ref: RM6232</w:t>
    </w:r>
  </w:p>
  <w:p w14:paraId="4BAC215A" w14:textId="77777777" w:rsidR="008903DB" w:rsidRDefault="009B1C45">
    <w:pPr>
      <w:spacing w:after="0" w:line="276" w:lineRule="auto"/>
      <w:rPr>
        <w:rFonts w:ascii="Arial" w:eastAsia="Arial" w:hAnsi="Arial"/>
        <w:sz w:val="20"/>
        <w:szCs w:val="20"/>
      </w:rPr>
    </w:pPr>
    <w:bookmarkStart w:id="11" w:name="_heading=h.1t3h5sf" w:colFirst="0" w:colLast="0"/>
    <w:bookmarkEnd w:id="11"/>
    <w:r>
      <w:rPr>
        <w:rFonts w:ascii="Arial" w:eastAsia="Arial" w:hAnsi="Arial"/>
        <w:sz w:val="20"/>
        <w:szCs w:val="20"/>
      </w:rPr>
      <w:t>Project Ref: v1.0</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Pr>
        <w:rFonts w:ascii="Arial" w:eastAsia="Arial" w:hAnsi="Arial"/>
        <w:noProof/>
        <w:sz w:val="20"/>
        <w:szCs w:val="20"/>
      </w:rPr>
      <w:t>1</w:t>
    </w:r>
    <w:r>
      <w:rPr>
        <w:rFonts w:ascii="Arial" w:eastAsia="Arial" w:hAnsi="Arial"/>
        <w:sz w:val="20"/>
        <w:szCs w:val="20"/>
      </w:rPr>
      <w:fldChar w:fldCharType="end"/>
    </w:r>
  </w:p>
  <w:p w14:paraId="25886452" w14:textId="77777777" w:rsidR="008903DB" w:rsidRDefault="009B1C45">
    <w:pPr>
      <w:spacing w:after="0" w:line="276" w:lineRule="auto"/>
      <w:rPr>
        <w:rFonts w:ascii="Arial" w:eastAsia="Arial" w:hAnsi="Arial"/>
        <w:sz w:val="20"/>
        <w:szCs w:val="20"/>
      </w:rPr>
    </w:pPr>
    <w:r>
      <w:rPr>
        <w:rFonts w:ascii="Arial" w:eastAsia="Arial" w:hAnsi="Arial"/>
        <w:sz w:val="20"/>
        <w:szCs w:val="20"/>
      </w:rPr>
      <w:t>Model Ref: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BF325" w14:textId="77777777" w:rsidR="008903DB" w:rsidRDefault="008903DB">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7FF5" w14:textId="77777777" w:rsidR="009B1C45" w:rsidRDefault="009B1C45">
      <w:pPr>
        <w:spacing w:after="0"/>
      </w:pPr>
      <w:r>
        <w:separator/>
      </w:r>
    </w:p>
  </w:footnote>
  <w:footnote w:type="continuationSeparator" w:id="0">
    <w:p w14:paraId="353066AD" w14:textId="77777777" w:rsidR="009B1C45" w:rsidRDefault="009B1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416B" w14:textId="77777777" w:rsidR="008903DB" w:rsidRDefault="008903DB">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2933" w14:textId="77777777" w:rsidR="008903DB" w:rsidRDefault="009B1C45">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w:t>
    </w:r>
    <w:r>
      <w:rPr>
        <w:rFonts w:ascii="Arial" w:eastAsia="Arial" w:hAnsi="Arial"/>
        <w:b/>
        <w:sz w:val="20"/>
        <w:szCs w:val="20"/>
        <w:highlight w:val="white"/>
      </w:rPr>
      <w:t xml:space="preserve"> 28 </w:t>
    </w:r>
    <w:r>
      <w:rPr>
        <w:rFonts w:ascii="Arial" w:eastAsia="Arial" w:hAnsi="Arial"/>
        <w:b/>
        <w:sz w:val="20"/>
        <w:szCs w:val="20"/>
      </w:rPr>
      <w:t>(TUPE Surcharge)</w:t>
    </w:r>
  </w:p>
  <w:p w14:paraId="39C471E7" w14:textId="77777777" w:rsidR="008903DB" w:rsidRDefault="009B1C45">
    <w:pPr>
      <w:tabs>
        <w:tab w:val="center" w:pos="4513"/>
        <w:tab w:val="right" w:pos="9026"/>
      </w:tabs>
      <w:spacing w:after="0"/>
      <w:jc w:val="left"/>
      <w:rPr>
        <w:rFonts w:ascii="Arial" w:eastAsia="Arial" w:hAnsi="Arial"/>
        <w:sz w:val="20"/>
        <w:szCs w:val="20"/>
      </w:rPr>
    </w:pPr>
    <w:bookmarkStart w:id="10" w:name="_heading=h.1fob9te" w:colFirst="0" w:colLast="0"/>
    <w:bookmarkEnd w:id="10"/>
    <w:r>
      <w:rPr>
        <w:rFonts w:ascii="Arial" w:eastAsia="Arial" w:hAnsi="Arial"/>
        <w:sz w:val="20"/>
        <w:szCs w:val="20"/>
      </w:rPr>
      <w:t xml:space="preserve">Call-Off Ref: </w:t>
    </w:r>
  </w:p>
  <w:p w14:paraId="405285CE" w14:textId="77777777" w:rsidR="008903DB" w:rsidRDefault="009B1C45">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38E41657" w14:textId="77777777" w:rsidR="008903DB" w:rsidRDefault="008903DB">
    <w:pPr>
      <w:tabs>
        <w:tab w:val="center" w:pos="4513"/>
        <w:tab w:val="right" w:pos="9026"/>
      </w:tabs>
      <w:spacing w:after="0"/>
      <w:jc w:val="right"/>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EFF2" w14:textId="77777777" w:rsidR="008903DB" w:rsidRDefault="008903D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B4DF5"/>
    <w:multiLevelType w:val="multilevel"/>
    <w:tmpl w:val="028882EE"/>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eastAsia="Arial" w:hAnsi="Arial" w:cs="Arial"/>
        <w:b w:val="0"/>
        <w:color w:val="000000"/>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1" w15:restartNumberingAfterBreak="0">
    <w:nsid w:val="74744B3D"/>
    <w:multiLevelType w:val="multilevel"/>
    <w:tmpl w:val="422E4900"/>
    <w:lvl w:ilvl="0">
      <w:start w:val="1"/>
      <w:numFmt w:val="decimal"/>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9EE6728"/>
    <w:multiLevelType w:val="multilevel"/>
    <w:tmpl w:val="85DE115C"/>
    <w:lvl w:ilvl="0">
      <w:start w:val="1"/>
      <w:numFmt w:val="decimal"/>
      <w:pStyle w:val="GPsDefinition"/>
      <w:lvlText w:val="%1."/>
      <w:lvlJc w:val="left"/>
      <w:pPr>
        <w:ind w:left="502" w:hanging="360"/>
      </w:pPr>
      <w:rPr>
        <w:rFonts w:ascii="Arial" w:eastAsia="Arial" w:hAnsi="Arial" w:cs="Arial"/>
        <w:b/>
      </w:rPr>
    </w:lvl>
    <w:lvl w:ilvl="1">
      <w:start w:val="1"/>
      <w:numFmt w:val="decimal"/>
      <w:pStyle w:val="GPSDefinitionL2"/>
      <w:lvlText w:val="%1.%2."/>
      <w:lvlJc w:val="left"/>
      <w:pPr>
        <w:ind w:left="1078" w:hanging="579"/>
      </w:pPr>
      <w:rPr>
        <w:rFonts w:ascii="Arial" w:eastAsia="Arial" w:hAnsi="Arial" w:cs="Arial"/>
        <w:b w:val="0"/>
      </w:rPr>
    </w:lvl>
    <w:lvl w:ilvl="2">
      <w:start w:val="1"/>
      <w:numFmt w:val="decimal"/>
      <w:pStyle w:val="GPSDefinitionL3"/>
      <w:lvlText w:val="%1.%2.%3."/>
      <w:lvlJc w:val="left"/>
      <w:pPr>
        <w:ind w:left="1798" w:hanging="720"/>
      </w:pPr>
      <w:rPr>
        <w:rFonts w:ascii="Arial" w:eastAsia="Arial" w:hAnsi="Arial" w:cs="Arial"/>
        <w:b w:val="0"/>
      </w:rPr>
    </w:lvl>
    <w:lvl w:ilvl="3">
      <w:start w:val="1"/>
      <w:numFmt w:val="lowerLetter"/>
      <w:pStyle w:val="GPSDefinitionL4"/>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num w:numId="1" w16cid:durableId="1241790964">
    <w:abstractNumId w:val="0"/>
  </w:num>
  <w:num w:numId="2" w16cid:durableId="1312254139">
    <w:abstractNumId w:val="2"/>
  </w:num>
  <w:num w:numId="3" w16cid:durableId="2069330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3DB"/>
    <w:rsid w:val="008903DB"/>
    <w:rsid w:val="009B1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41293"/>
  <w15:docId w15:val="{BDDCE834-23E5-4947-821C-CD9CD6AE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unhideWhenUsed/>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unhideWhenUsed/>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3"/>
      </w:numPr>
      <w:tabs>
        <w:tab w:val="left" w:pos="1134"/>
      </w:tabs>
      <w:spacing w:before="120" w:after="120"/>
    </w:pPr>
  </w:style>
  <w:style w:type="paragraph" w:customStyle="1" w:styleId="GPSL3numberedclause">
    <w:name w:val="GPS L3 numbered clause"/>
    <w:basedOn w:val="Normal"/>
    <w:qFormat/>
    <w:pPr>
      <w:numPr>
        <w:ilvl w:val="2"/>
        <w:numId w:val="3"/>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924C08"/>
    <w:pPr>
      <w:autoSpaceDE/>
      <w:autoSpaceDN/>
      <w:adjustRightInd/>
      <w:spacing w:before="100" w:beforeAutospacing="1" w:after="100" w:afterAutospacing="1"/>
      <w:jc w:val="left"/>
    </w:pPr>
    <w:rPr>
      <w:rFonts w:ascii="Times New Roman" w:eastAsia="Times New Roman" w:hAnsi="Times New Roman" w:cs="Times New Roman"/>
      <w:sz w:val="24"/>
      <w:szCs w:val="24"/>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yXVVi/qsZtBv34/0SvLcNhr8ww==">AMUW2mUtYVQ5YdP1p/+IpibtDvmNY+mydjLU2GMmzMJIFlpE6sNZLlkjFVbNYJ1j/h1mEtRT5wHE5bol5321+BpymR2IIPZKDurx5/sV2jVDffdgrVQ/CfGHmJIdkcTnEVty34MdMhDIsu8KM6/22jSG+l6raEqpdkwK9tMDNdzJB5KvioC6Jn1Vok66Hnkz3JUQIvQXhqW6AmMUjqkXYhFEWTuuzkUBjzQU5HYUIFkQxZB0mS5KM/2o9eewpT3TRoWCpQBDEIHkm7vOYzSu2rQx9z3Mg9RTFyJgY3gYqFdq70I7c8EtJa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2YVFTKVCK2EY-1190750614-32013</_dlc_DocId>
    <_dlc_DocIdUrl xmlns="4f998c8e-9751-4b60-ab63-466603ec2845">
      <Url>https://nationalarchivesuk.sharepoint.com/sites/PPD_Proj/_layouts/15/DocIdRedir.aspx?ID=2YVFTKVCK2EY-1190750614-32013</Url>
      <Description>2YVFTKVCK2EY-1190750614-32013</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B088D1F-2516-4EE5-A308-43E571A2EA0C}"/>
</file>

<file path=customXml/itemProps3.xml><?xml version="1.0" encoding="utf-8"?>
<ds:datastoreItem xmlns:ds="http://schemas.openxmlformats.org/officeDocument/2006/customXml" ds:itemID="{F5E4A48C-F1F1-4873-97DE-391AFA3661E8}"/>
</file>

<file path=customXml/itemProps4.xml><?xml version="1.0" encoding="utf-8"?>
<ds:datastoreItem xmlns:ds="http://schemas.openxmlformats.org/officeDocument/2006/customXml" ds:itemID="{8435BBF6-3923-44EE-8F24-25A00A47DA21}"/>
</file>

<file path=customXml/itemProps5.xml><?xml version="1.0" encoding="utf-8"?>
<ds:datastoreItem xmlns:ds="http://schemas.openxmlformats.org/officeDocument/2006/customXml" ds:itemID="{A34DB19C-04DB-4E29-90BB-C03D7EA7EAC6}"/>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2168</Words>
  <Characters>12362</Characters>
  <Application>Microsoft Office Word</Application>
  <DocSecurity>0</DocSecurity>
  <Lines>103</Lines>
  <Paragraphs>29</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McCaldon</dc:creator>
  <cp:lastModifiedBy>Austin, Darren</cp:lastModifiedBy>
  <cp:revision>2</cp:revision>
  <dcterms:created xsi:type="dcterms:W3CDTF">2024-11-27T10:15:00Z</dcterms:created>
  <dcterms:modified xsi:type="dcterms:W3CDTF">2024-11-27T10:15:00Z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y fmtid="{D5CDD505-2E9C-101B-9397-08002B2CF9AE}" pid="3" name="ContentTypeId">
    <vt:lpwstr>0x0101002764AF0AF017AC4E89BEB950B1BC77C2</vt:lpwstr>
  </property>
  <property fmtid="{D5CDD505-2E9C-101B-9397-08002B2CF9AE}" pid="4" name="_dlc_DocIdItemGuid">
    <vt:lpwstr>808a6c6d-9a13-4664-a821-8477ed343ec9</vt:lpwstr>
  </property>
  <property fmtid="{D5CDD505-2E9C-101B-9397-08002B2CF9AE}" pid="5" name="MediaServiceImageTags">
    <vt:lpwstr/>
  </property>
</Properties>
</file>